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枣庄市工业企业“8010”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三年（2024—2026年）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对标登高行动方案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为深入落实“强工兴产、转型突围”战略，纵深实施工业倍增计划，进一步强化骨干龙头企业的支撑带动作用，加快实现企业倍增，现制定枣庄市工业企业“8010”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对标登高行动方案，具体如下：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一、对标登高目标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到2026年底，力争全市营收10亿元以上骨干工业企业达到80家，其中营收100亿元以上龙头工业企业（含企业集团，下同）达到10家。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按区（市）分，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2026年底，力争营收10亿元以上骨干工业企业滕州市30家、薛城区10家、市中区10家、高新区9家、峄城区7家、台儿庄区7家、山亭区5家，共80家（含市直2家），营收100亿元以上龙头工业企业滕州市2家、薛城区2家、高新区2家、峄城区1家、台儿庄区1家，共10家（含市直2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C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按产业链分，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到2026年底，力争营收10亿元以上骨干工业企业新能源及锂电1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家、高端化工13家、高端装备1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家、新材料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家、新医药3家、新一代信息技术2家、高质高效农业8家、新型商贸物流1家、文旅康养1家，共80家（含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未纳入产业链考核的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纺织服装、造纸、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综合集团、烟草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家）；营收100亿元以上龙头工业企业新能源及锂电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家、高端化工3家、新医药1家，共10家（含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未纳入产业链考核的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综合集团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家）。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（注：本文产业链涉及企业仅指工业企业）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按年度分，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2024年底，力争全市营收10亿元以上骨干工业企业达到43家，其中营收100亿元以上龙头工业企业达到5家；到2025年底，力争营收10亿元以上骨干工业企业达到55家，其中营收100亿元以上龙头工业企业达到5家；到2026年底，力争全市营收10亿元以上骨干工业企业达到80家，其中营收100亿元以上龙头工业企业达到10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（一）实施提级帮包行动。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市、区（市）两级领导干部帮包规上工业企业的基础上，进一步优化调整帮包方案，健全协同帮包工作机制，将龙头工业企业纳入市级领导帮包范围，骨干工业企业帮包由所在区（市）负责实施，原则上一家骨干工业企业明确一名县级干部作为帮包专员，立足企业实际，聚焦发展需求，聚力破解瓶颈。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（责任单位：市实施“工业倍增计划”领导小组办公室，市委办公室、市政府办公室，各区〈市〉、枣庄高新区）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（二）实施招商突破行动。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“点链面”协同招商，大力实施驻点招商（珠三角、长三角、京津冀）、企业招商、产业链招商和市区党政“一把手”分线作战招商行动，发挥区（市）招商和企业招商的主体作用，建强用好产业链招商队伍，努力招引一批契合枣庄实际、弥补产业链短板、带动能力强的优质项目。强化对招引项目质量管理和服务保障，探索构建“项目签约—手续办理—开工建设—投产达效”的全程跟踪问效机制，提升项目履约率、资金到位率、产出达标率，尽快招引落地达效一批过10亿元项目。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（责任单位：市商务局、市发展改革委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市行政审批服务局、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市自然资源和规划局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市能源局、市生态环境局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，相关产业链牵头部门，各区〈市〉、枣庄高新区）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（三）实施存量扩规行动。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坚持向存量要增量，帮助现有骨干龙头企业瞄准高端化、智能化、绿色化、集群化方向，谋划实施一批智改数转、提质扩规项目，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同等条件下，</w:t>
      </w:r>
      <w:r>
        <w:rPr>
          <w:rFonts w:hint="eastAsia" w:ascii="Times New Roman" w:hAnsi="Times New Roman" w:eastAsia="仿宋_GB2312"/>
          <w:sz w:val="32"/>
          <w:szCs w:val="32"/>
        </w:rPr>
        <w:t>骨干龙头企业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技改项目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优先推荐纳入市级及以上技改政策支持范围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，加快膨胀规模。支持骨干龙头企业加快重点项目建设，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符合要求的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在建项目纳入重点项目全生命周期管理服务，配备项目专班、专员，推动项目早建成、早投产、早达效。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（责任单位：市工业和信息化局、市商务局、市发展改革委，各区〈市〉、枣庄高新区）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）实施创新提升行动。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支持骨干龙头企业加强与高校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科研院所合作，建立联合实验室、中试基地等创新平台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建设技术创新中心、产业创新中心、制造业创新中心等高水平研发机构，建设优化提升院士工作站、工业设计中心、企业技术中心、工程研究中心、重点实验室等研发机构，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提升企业科技创新能力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。加大对骨干龙头企业人才引进支持力度，同等条件下优先推荐纳入枣庄市人才引领型企业培育库，鼓励持续引进亟需的高层次人才。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（责任单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位：市科技局、市发展改革委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市工业和信息化局、市委组织部，各区〈市〉、枣庄高新区）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）实施要素集聚行动。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结合“要素跟着项目走”机制，集中土地、资金、能耗等要素资源，优先保障骨干龙头工业企业需要。定期梳理企业发展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和项目建设面临制约难题，纳入市级重大项目联席会议研究解决。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加大金融支持力度，通过争取银行贷款、搭建融资平台、对接资本市场、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产业基金引导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等方式，为企业注入金融“活水”。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坚持向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空间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要效益、以亩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论英雄，将经济园区综合容积率提高到1.0以上，全面清理各类闲置低效土地，依法依规倒逼无生产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活动、无税收贡献、无合法合规手续和低档次、低产出、低贡献的企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业尽快出清，腾出更多的发展空间。鼓励骨干龙头工业企业参与处置使用闲置低效土地，提高土地使用效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率。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（责任单位：市发展改革委、市自然资源和规划局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val="en-US" w:eastAsia="zh-CN"/>
        </w:rPr>
        <w:t>、市生态环境局、市地方金融监管局、市能源局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各市直帮包单位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各区〈市〉、枣庄高新区）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）实施政策赋能行动。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对骨干龙头企业政策支持力度，鼓励骨干龙头企业通过增资扩股、兼并重组、股权置换等方式，收购外地上市企业、兼并市外企业、重组本地企业，对引领性强、贡献度大的，采取“一事一议”方式给予支持。自2023年度起，对营收首次突破10亿元的工业企业给予50万元的一次性奖励。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（责任单位：市财政局、市工业和信息化局，市直涉企奖补政策责任单位）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（一）强化组织领导。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在市实施“工业倍增计划”领导小组办公室增设“8010”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骨干龙头工业企业对标登高行动工作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专班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（设在市工信局）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，负责日常组织、协调、调度等工作，联合综合组、考核组开展督导考核工作。各区（市）、枣庄高新区也要相应成立工作专班，明确职责分工，确保工作实效。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（责任单位：市实施“工业倍增计划”领导小组办公室）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）实施重点培育。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由各区（市）、枣庄高新区和各产业链责任单位推荐重点培育企业，建立枣庄市“8010”工业企业对标登高行动重点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培育库，进行重点培育。同时，根据企业实际对标登高情况和新招引项目建设投产情况，实行动态管理并适时调整。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（责任单位：市实施“工业倍增计划”领导小组办公室）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）加强为企服务。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全骨干龙头企业协同帮包工作机制，及时协调解决企业发展中存在的难题。围绕不同企业的发展需求，配置菜单式的服务资源，提供定制化的政策支持，对于现行政策未能满足的个性需求，通过“一企一策、一事一议”方式研究解决。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（责任单位：市实施“工业倍增计划”领导小组办公室，各市直帮包单位，各区〈市〉、枣庄高新区）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工业企业“8010”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对标登高行动分区（市）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1916" w:leftChars="760" w:hanging="320" w:hanging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2.工业企业“8010”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对标登高行动分产业链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1915" w:leftChars="912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1916" w:leftChars="760" w:hanging="320" w:hanging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701" w:right="1701" w:bottom="1701" w:left="1701" w:header="851" w:footer="992" w:gutter="0"/>
          <w:lnNumType w:countBy="0" w:distance="360"/>
          <w:pgNumType w:fmt="decimal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3.工业企业“8010”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对标登高行动重点企业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名单（第一批）</w:t>
      </w:r>
    </w:p>
    <w:p>
      <w:pPr>
        <w:spacing w:beforeLines="0" w:afterLines="0" w:line="600" w:lineRule="exact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附件1</w:t>
      </w:r>
    </w:p>
    <w:p>
      <w:pPr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工业企业“8010”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三年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对标登高行动</w:t>
      </w:r>
    </w:p>
    <w:p>
      <w:pPr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分区（市）目标</w:t>
      </w:r>
    </w:p>
    <w:tbl>
      <w:tblPr>
        <w:tblStyle w:val="5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551"/>
        <w:gridCol w:w="1298"/>
        <w:gridCol w:w="1297"/>
        <w:gridCol w:w="1298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区（市）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2023年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2024年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全市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滕州市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薛城区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山亭区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市中区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峄城区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台儿庄区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枣庄高新区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市直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分区（市）目标把握以下原则：</w:t>
            </w:r>
          </w:p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1.与各区（市）工业经济体量占比及规工企业数量占比大体相当；</w:t>
            </w:r>
          </w:p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2.以2023年营收预计10亿元以上及100亿元以上企业数量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为基础；</w:t>
            </w:r>
          </w:p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3.参考各区（市）2024—2026年招商引资及在建重大项目情况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；</w:t>
            </w:r>
          </w:p>
        </w:tc>
      </w:tr>
    </w:tbl>
    <w:p>
      <w:pPr>
        <w:spacing w:beforeLines="0" w:afterLines="0" w:line="600" w:lineRule="exact"/>
        <w:rPr>
          <w:rFonts w:hint="default" w:ascii="Times New Roman" w:hAnsi="Times New Roman" w:eastAsia="方正小标宋简体" w:cs="Times New Roman"/>
          <w:sz w:val="44"/>
          <w:szCs w:val="44"/>
        </w:rPr>
        <w:sectPr>
          <w:pgSz w:w="11906" w:h="16838"/>
          <w:pgMar w:top="1701" w:right="1701" w:bottom="1701" w:left="1701" w:header="851" w:footer="992" w:gutter="0"/>
          <w:lnNumType w:countBy="0" w:distance="360"/>
          <w:pgNumType w:fmt="decimal"/>
          <w:cols w:space="720" w:num="1"/>
          <w:docGrid w:type="lines" w:linePitch="312" w:charSpace="0"/>
        </w:sectPr>
      </w:pPr>
    </w:p>
    <w:p>
      <w:pPr>
        <w:spacing w:beforeLines="0" w:afterLines="0" w:line="600" w:lineRule="exact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附件2</w:t>
      </w:r>
    </w:p>
    <w:p>
      <w:pPr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工业企业“8010”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三年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对标登高行动</w:t>
      </w:r>
    </w:p>
    <w:p>
      <w:pPr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分产业链目标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531"/>
        <w:gridCol w:w="1304"/>
        <w:gridCol w:w="1304"/>
        <w:gridCol w:w="130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产业链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类型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2023年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2024年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2025年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新能源及锂电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12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高端化工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高端装备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新材料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新医药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新一代信息技术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高质高效农业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新型商贸物流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文旅康养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其他综合类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总计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骨干企业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龙头企业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分产业链目标把握以下原则：</w:t>
            </w:r>
          </w:p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1.考虑各产业链营收体量及工业倍增目标；</w:t>
            </w:r>
          </w:p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2.以2023年营收预计10亿元以上及100亿元以上企业数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量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  <w:t>为基础；</w:t>
            </w:r>
          </w:p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3.参考各产业链2024—2026年招商引资及在建重大项目情况。</w:t>
            </w:r>
          </w:p>
        </w:tc>
      </w:tr>
    </w:tbl>
    <w:p>
      <w:pPr>
        <w:spacing w:beforeLines="0" w:afterLines="0" w:line="600" w:lineRule="exact"/>
        <w:rPr>
          <w:rFonts w:hint="default" w:ascii="Times New Roman" w:hAnsi="Times New Roman" w:eastAsia="方正小标宋简体" w:cs="Times New Roman"/>
          <w:sz w:val="44"/>
          <w:szCs w:val="44"/>
        </w:rPr>
        <w:sectPr>
          <w:pgSz w:w="11906" w:h="16838"/>
          <w:pgMar w:top="1474" w:right="1701" w:bottom="1531" w:left="1701" w:header="851" w:footer="992" w:gutter="0"/>
          <w:lnNumType w:countBy="0" w:distance="360"/>
          <w:pgNumType w:fmt="decimal"/>
          <w:cols w:space="720" w:num="1"/>
          <w:docGrid w:type="lines" w:linePitch="312" w:charSpace="0"/>
        </w:sectPr>
      </w:pPr>
    </w:p>
    <w:p>
      <w:pPr>
        <w:spacing w:beforeLines="0" w:afterLines="0" w:line="600" w:lineRule="exact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附件3</w:t>
      </w:r>
    </w:p>
    <w:p>
      <w:pPr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工业企业“8010”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三年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对标登高行动</w:t>
      </w:r>
    </w:p>
    <w:p>
      <w:pPr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重点企业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建议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名单（第一批）</w:t>
      </w:r>
    </w:p>
    <w:p>
      <w:pPr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76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3707"/>
        <w:gridCol w:w="1386"/>
        <w:gridCol w:w="1167"/>
        <w:gridCol w:w="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2026年培育目标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区（市）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枣庄矿业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亿元以上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兖矿鲁南化工有限公司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亿元以上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山东潍焦集团薛城能源有限公司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亿元以上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联泓新材料科技股份有限公司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亿元以上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国网山东省电力公司枣庄供电公司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亿元以上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山东丰元锂能科技有限公司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亿元以上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山东丰源集团股份有限公司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亿元以上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山东泉兴能源集团有限公司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亿元以上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山东欣旺达新能源有限公司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亿元以上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山东海王优品健康科技有限公司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亿元以上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山东吉利欣旺达动力电池有限公司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山东芯恒光科技有限公司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山东腾达紧固科技股份有限公司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山东泰和科技股份有限公司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山东极电电动汽车技术有限公司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博雷顿（山东）新能源汽车有限公司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山东腾达特种钢丝科技有限公司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山东恒仁工贸有限公司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华电国际电力股份有限公司十里泉发电厂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盛隆化工有限公司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山东中烟工业有限责任公司滕州卷烟厂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山东王晁煤电集团有限公司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八亿橡胶有限责任公司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中材锂膜有限公司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滕州金晶玻璃有限公司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滕州东方钢帘线有限公司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东方光源集团有限公司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枣庄华宝牧业开发有限公司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山东聚合顺鲁化新材料有限公司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枣庄杰富意振兴化工有限公司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华电滕州新源热电有限公司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枣庄华润纸业有限公司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盛源宏达化工有限公司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远通纸业（山东）有限公司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枣庄市银牛面业有限公司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山东申丰水泥集团有限公司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山东融跃肉制品有限公司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鲁南中联水泥有限公司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山东辛化硅胶有限公司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滕州华润燃气有限公司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山东奥瑟亚化工有限公司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北玻院（滕州）复合材料有限公司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枣庄通晟实业有限公司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枣庄市恒宇纸业有限公司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山东华邦能源集团有限公司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亿恩科天润新能源材料（山东）有限公司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山东泉兴水泥有限公司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滕州中联水泥有限公司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枣庄市天龙纸业有限公司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滕州合易食品有限公司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福兴集团有限公司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山东精工电子科技有限公司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枣庄福山实业有限公司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滕州东启肉类加工有限公司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山东天衢铝业有限公司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尚品本色智能家居有限公司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山东海之杰纺织有限公司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山东福藤食品有限公司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山东茁彼母婴用品有限公司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枣庄利丰饲料有限公司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山东威达重工股份有限公司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枣庄八一水煤浆热电有限责任公司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青岛啤酒（枣庄）有限公司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山东泉为新能源科技有限公司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滕州富源低热值燃料热电有限公司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中科智能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山东创普斯新能源科技有限公司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山东益康药业股份有限公司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清峦福兴工业科技集团有限公司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滕州市东郭水泥有限公司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伟伦鞋业（山东）有限公司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枣庄新希望六和饲料有限公司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山东省润泰新材料有限公司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枣庄市胜达精密铸造有限公司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枣庄鑫金山智能装备有限公司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泉头集团枣庄金桥旋窑水泥有限公司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枣庄中联水泥有限公司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枣庄市沃丰水泥有限公司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山东正凯新材料股份有限公司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山东杭氧气体有限公司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山东中科蓝天科技有限公司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中材科技膜材料（山东）有限公司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山东日盈食品有限公司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滕州市三合机械股份有限公司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山东连银山环保建材有限公司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山东刘岭铁矿有限公司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山东联润新材料科技有限公司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华润三九（枣庄）药业有限公司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山东能源装备集团鲁南装备制造有限公司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zNhNjc4NGMyNGI4NTI2NTM2MzhjYTM5NzhlNGEifQ=="/>
  </w:docVars>
  <w:rsids>
    <w:rsidRoot w:val="00172A27"/>
    <w:rsid w:val="038150F3"/>
    <w:rsid w:val="0BA85A46"/>
    <w:rsid w:val="0BBF85FB"/>
    <w:rsid w:val="0CAA5AF8"/>
    <w:rsid w:val="0EBF62C2"/>
    <w:rsid w:val="21E20A55"/>
    <w:rsid w:val="22CD86CF"/>
    <w:rsid w:val="242E5C65"/>
    <w:rsid w:val="25A4517B"/>
    <w:rsid w:val="25F65E50"/>
    <w:rsid w:val="29FCA1ED"/>
    <w:rsid w:val="32EB4BB1"/>
    <w:rsid w:val="33DF208F"/>
    <w:rsid w:val="33FCE9D5"/>
    <w:rsid w:val="3BBA71A4"/>
    <w:rsid w:val="3CAC7699"/>
    <w:rsid w:val="3DE5BDB7"/>
    <w:rsid w:val="3DFE9B9A"/>
    <w:rsid w:val="3FEF5D06"/>
    <w:rsid w:val="3FF70B5E"/>
    <w:rsid w:val="40CF754E"/>
    <w:rsid w:val="439D3995"/>
    <w:rsid w:val="47781D25"/>
    <w:rsid w:val="47E422D3"/>
    <w:rsid w:val="4BA426B2"/>
    <w:rsid w:val="4FDADCB3"/>
    <w:rsid w:val="57DFC222"/>
    <w:rsid w:val="57E5064C"/>
    <w:rsid w:val="596FF49D"/>
    <w:rsid w:val="5EE5BC3F"/>
    <w:rsid w:val="5FDF2FE8"/>
    <w:rsid w:val="5FF70837"/>
    <w:rsid w:val="67FD7EFD"/>
    <w:rsid w:val="67FE5A65"/>
    <w:rsid w:val="6DD249B7"/>
    <w:rsid w:val="6DE54CB3"/>
    <w:rsid w:val="6FBE1005"/>
    <w:rsid w:val="6FCF4F05"/>
    <w:rsid w:val="716A38D3"/>
    <w:rsid w:val="75DFE83E"/>
    <w:rsid w:val="75F753CB"/>
    <w:rsid w:val="777B470F"/>
    <w:rsid w:val="777F7DF7"/>
    <w:rsid w:val="77E5559B"/>
    <w:rsid w:val="78261E47"/>
    <w:rsid w:val="78DB7356"/>
    <w:rsid w:val="7A7B98CA"/>
    <w:rsid w:val="7CF582DC"/>
    <w:rsid w:val="7D734BE0"/>
    <w:rsid w:val="7D7ACC8A"/>
    <w:rsid w:val="7DAF0FC7"/>
    <w:rsid w:val="7DBF9C6D"/>
    <w:rsid w:val="7DEDBFEC"/>
    <w:rsid w:val="7DEF2660"/>
    <w:rsid w:val="7DFF2DC3"/>
    <w:rsid w:val="7EFFCF8B"/>
    <w:rsid w:val="7F0449BD"/>
    <w:rsid w:val="7F7F24D7"/>
    <w:rsid w:val="7FFDB0CE"/>
    <w:rsid w:val="8E9FDF21"/>
    <w:rsid w:val="97FF4E66"/>
    <w:rsid w:val="9AF78E4E"/>
    <w:rsid w:val="A2A921C9"/>
    <w:rsid w:val="AF3946BE"/>
    <w:rsid w:val="AF79F014"/>
    <w:rsid w:val="AFFFD15F"/>
    <w:rsid w:val="B9FFA862"/>
    <w:rsid w:val="BFF6E90D"/>
    <w:rsid w:val="DFF4FF7D"/>
    <w:rsid w:val="E1D7C55D"/>
    <w:rsid w:val="E5F97DB6"/>
    <w:rsid w:val="EAAFD0B0"/>
    <w:rsid w:val="EAF667F7"/>
    <w:rsid w:val="EDBF107D"/>
    <w:rsid w:val="EFED0EB7"/>
    <w:rsid w:val="F37F7FCE"/>
    <w:rsid w:val="F39CACDF"/>
    <w:rsid w:val="F7FE83AE"/>
    <w:rsid w:val="FBBD87B1"/>
    <w:rsid w:val="FCF3B72F"/>
    <w:rsid w:val="FD9E4585"/>
    <w:rsid w:val="FEDF97A6"/>
    <w:rsid w:val="FEFE89F3"/>
    <w:rsid w:val="FF7DEA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unhideWhenUsed/>
    <w:qFormat/>
    <w:uiPriority w:val="0"/>
    <w:pPr>
      <w:spacing w:beforeLines="0" w:afterLines="0"/>
    </w:pPr>
    <w:rPr>
      <w:rFonts w:hint="eastAsia"/>
      <w:sz w:val="32"/>
      <w:szCs w:val="24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4">
    <w:name w:val="head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 w:line="240" w:lineRule="auto"/>
    </w:pPr>
    <w:rPr>
      <w:rFonts w:hint="eastAsia"/>
      <w:sz w:val="18"/>
      <w:szCs w:val="24"/>
    </w:rPr>
  </w:style>
  <w:style w:type="paragraph" w:customStyle="1" w:styleId="7">
    <w:name w:val="Heading #2|1"/>
    <w:basedOn w:val="1"/>
    <w:autoRedefine/>
    <w:qFormat/>
    <w:uiPriority w:val="0"/>
    <w:pPr>
      <w:widowControl w:val="0"/>
      <w:shd w:val="clear" w:color="auto" w:fill="auto"/>
      <w:spacing w:after="300" w:line="708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autoRedefine/>
    <w:unhideWhenUsed/>
    <w:qFormat/>
    <w:uiPriority w:val="0"/>
    <w:pPr>
      <w:spacing w:beforeLines="0" w:afterLines="0" w:line="401" w:lineRule="auto"/>
      <w:ind w:firstLine="400"/>
    </w:pPr>
    <w:rPr>
      <w:rFonts w:hint="default" w:ascii="宋体" w:hAnsi="宋体" w:eastAsia="宋体" w:cs="宋体"/>
      <w:sz w:val="30"/>
      <w:szCs w:val="30"/>
      <w:lang w:val="zh-TW" w:eastAsia="zh-TW" w:bidi="zh-TW"/>
    </w:rPr>
  </w:style>
  <w:style w:type="character" w:customStyle="1" w:styleId="9">
    <w:name w:val="font51"/>
    <w:basedOn w:val="6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8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4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7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6012</Words>
  <Characters>7120</Characters>
  <Lines>0</Lines>
  <Paragraphs>0</Paragraphs>
  <TotalTime>31</TotalTime>
  <ScaleCrop>false</ScaleCrop>
  <LinksUpToDate>false</LinksUpToDate>
  <CharactersWithSpaces>7200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2020-05-13T09:52:00Z</dcterms:created>
  <dc:creator>uos</dc:creator>
  <cp:lastModifiedBy>ohh</cp:lastModifiedBy>
  <cp:lastPrinted>2024-01-04T02:52:00Z</cp:lastPrinted>
  <dcterms:modified xsi:type="dcterms:W3CDTF">2024-02-08T09:11:28Z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2EBB88A5EBAF418789F6E5804D631E95_13</vt:lpwstr>
  </property>
</Properties>
</file>