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枣庄市工业企业“8010”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三年（2024—2026年）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对标登高行动方案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720" w:firstLineChars="200"/>
        <w:jc w:val="left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为深入落实“强工兴产、转型突围”战略，纵深实施工业倍增计划，进一步强化骨干龙头企业的支撑带动作用，加快实现企业倍增，现制定枣庄市工业企业“8010”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对标登高行动方案，具体如下：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一、对标登高目标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到2026年底，力争全市营收10亿元以上骨干工业企业达到80家，其中营收100亿元以上龙头工业企业（含企业集团，下同）达到10家。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按区（市）分，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2026年底，力争营收10亿元以上骨干工业企业滕州市30家、薛城区10家、市中区10家、高新区9家、峄城区7家、台儿庄区7家、山亭区5家，共80家（含市直2家），营收100亿元以上龙头工业企业滕州市2家、薛城区2家、高新区2家、峄城区1家、台儿庄区1家，共10家（含市直2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color w:val="C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按产业链分，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到2026年底，力争营收10亿元以上骨干工业企业新能源及锂电1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家、高端化工13家、高端装备1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家、新材料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家、新医药3家、新一代信息技术2家、高质高效农业8家、新型商贸物流1家、文旅康养1家，共80家（含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未纳入产业链考核的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纺织服装、造纸、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综合集团、烟草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家）；营收100亿元以上龙头工业企业新能源及锂电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家、高端化工3家、新医药1家，共10家（含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未纳入产业链考核的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综合集团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家）。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（注：本文产业链涉及企业仅指工业企业）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按年度分，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2024年底，力争全市营收10亿元以上骨干工业企业达到43家，其中营收100亿元以上龙头工业企业达到5家；到2025年底，力争营收10亿元以上骨干工业企业达到55家，其中营收100亿元以上龙头工业企业达到5家；到2026年底，力争全市营收10亿元以上骨干工业企业达到80家，其中营收100亿元以上龙头工业企业达到10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（一）实施提级帮包行动。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市、区（市）两级领导干部帮包规上工业企业的基础上，进一步优化调整帮包方案，健全协同帮包工作机制，将龙头工业企业纳入市级领导帮包范围，骨干工业企业帮包由所在区（市）负责实施，原则上一家骨干工业企业明确一名县级干部作为帮包专员，立足企业实际，聚焦发展需求，聚力破解瓶颈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（责任单位：市实施“工业倍增计划”领导小组办公室，市委办公室、市政府办公室，各区〈市〉、枣庄高新区）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（二）实施招商突破行动。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“点链面”协同招商，大力实施驻点招商（珠三角、长三角、京津冀）、企业招商、产业链招商和市区党政“一把手”分线作战招商行动，发挥区（市）招商和企业招商的主体作用，建强用好产业链招商队伍，努力招引一批契合枣庄实际、弥补产业链短板、带动能力强的优质项目。强化对招引项目质量管理和服务保障，探索构建“项目签约—手续办理—开工建设—投产达效”的全程跟踪问效机制，提升项目履约率、资金到位率、产出达标率，尽快招引落地达效一批过10亿元项目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（责任单位：市商务局、市发展改革委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市行政审批服务局、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市自然资源和规划局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市能源局、市生态环境局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，相关产业链牵头部门，各区〈市〉、枣庄高新区）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（三）实施存量扩规行动。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坚持向存量要增量，帮助现有骨干龙头企业瞄准高端化、智能化、绿色化、集群化方向，谋划实施一批智改数转、提质扩规项目，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同等条件下，</w:t>
      </w:r>
      <w:r>
        <w:rPr>
          <w:rFonts w:hint="eastAsia" w:ascii="Times New Roman" w:hAnsi="Times New Roman" w:eastAsia="仿宋_GB2312"/>
          <w:sz w:val="32"/>
          <w:szCs w:val="32"/>
        </w:rPr>
        <w:t>骨干龙头企业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技改项目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优先推荐纳入市级及以上技改政策支持范围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，加快膨胀规模。支持骨干龙头企业加快重点项目建设，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符合要求的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在建项目纳入重点项目全生命周期管理服务，配备项目专班、专员，推动项目早建成、早投产、早达效。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（责任单位：市工业和信息化局、市商务局、市发展改革委，各区〈市〉、枣庄高新区）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）实施创新提升行动。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支持骨干龙头企业加强与高校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科研院所合作，建立联合实验室、中试基地等创新平台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建设技术创新中心、产业创新中心、制造业创新中心等高水平研发机构，建设优化提升院士工作站、工业设计中心、企业技术中心、工程研究中心、重点实验室等研发机构，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提升企业科技创新能力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。加大对骨干龙头企业人才引进支持力度，同等条件下优先推荐纳入枣庄市人才引领型企业培育库，鼓励持续引进亟需的高层次人才。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位：市科技局、市发展改革委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市工业和信息化局、市委组织部，各区〈市〉、枣庄高新区）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）实施要素集聚行动。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结合“要素跟着项目走”机制，集中土地、资金、能耗等要素资源，优先保障骨干龙头工业企业需要。定期梳理企业发展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和项目建设面临制约难题，纳入市级重大项目联席会议研究解决。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加大金融支持力度，通过争取银行贷款、搭建融资平台、对接资本市场、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产业基金引导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等方式，为企业注入金融“活水”。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空间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要效益、以亩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论英雄，将经济园区综合容积率提高到1.0以上，全面清理各类闲置低效土地，依法依规倒逼无生产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活动、无税收贡献、无合法合规手续和低档次、低产出、低贡献的企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业尽快出清，腾出更多的发展空间。鼓励骨干龙头工业企业参与处置使用闲置低效土地，提高土地使用效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率。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（责任单位：市发展改革委、市自然资源和规划局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、市生态环境局、市地方金融监管局、市能源局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各市直帮包单位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各区〈市〉、枣庄高新区）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）实施政策赋能行动。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大对骨干龙头企业政策支持力度，鼓励骨干龙头企业通过增资扩股、兼并重组、股权置换等方式，收购外地上市企业、兼并市外企业、重组本地企业，对引领性强、贡献度大的，采取“一事一议”方式给予支持。自2023年度起，对营收首次突破10亿元的工业企业给予50万元的一次性奖励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（责任单位：市财政局、市工业和信息化局，市直涉企奖补政策责任单位）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（一）强化组织领导。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在市实施“工业倍增计划”领导小组办公室增设“8010”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骨干龙头工业企业对标登高行动工作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专班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（设在市工信局）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，负责日常组织、协调、调度等工作，联合综合组、考核组开展督导考核工作。各区（市）、枣庄高新区也要相应成立工作专班，明确职责分工，确保工作实效。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（责任单位：市实施“工业倍增计划”领导小组办公室）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）实施重点培育。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由各区（市）、枣庄高新区和各产业链责任单位推荐重点培育企业，建立枣庄市“8010”工业企业对标登高行动重点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培育库，进行重点培育。同时，根据企业实际对标登高情况和新招引项目建设投产情况，实行动态管理并适时调整。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（责任单位：市实施“工业倍增计划”领导小组办公室）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）加强为企服务。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全骨干龙头企业协同帮包工作机制，及时协调解决企业发展中存在的难题。围绕不同企业的发展需求，配置菜单式的服务资源，提供定制化的政策支持，对于现行政策未能满足的个性需求，通过“一企一策、一事一议”方式研究解决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（责任单位：市实施“工业倍增计划”领导小组办公室，各市直帮包单位，各区〈市〉、枣庄高新区）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工业企业“8010”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对标登高行动分区（市）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2.工业企业“8010”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对标登高行动分产业链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915" w:leftChars="912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992" w:gutter="0"/>
          <w:lnNumType w:countBy="0" w:distance="360"/>
          <w:pgNumType w:fmt="decimal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3.工业企业“8010”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对标登高行动重点企业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名单（第一批）</w:t>
      </w:r>
    </w:p>
    <w:p>
      <w:pPr>
        <w:spacing w:beforeLines="0" w:afterLines="0" w:line="600" w:lineRule="exac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附件1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工业企业“8010”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三年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对标登高行动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分区（市）目标</w:t>
      </w:r>
    </w:p>
    <w:tbl>
      <w:tblPr>
        <w:tblStyle w:val="5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551"/>
        <w:gridCol w:w="1298"/>
        <w:gridCol w:w="1297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区（市）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2023年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2024年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2025年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全市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滕州市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薛城区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山亭区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市中区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峄城区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台儿庄区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枣庄高新区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市直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分区（市）目标把握以下原则：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1.与各区（市）工业经济体量占比及规工企业数量占比大体相当；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2.以2023年营收预计10亿元以上及100亿元以上企业数量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为基础；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3.参考各区（市）2024—2026年招商引资及在建重大项目情况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；</w:t>
            </w:r>
          </w:p>
        </w:tc>
      </w:tr>
    </w:tbl>
    <w:p>
      <w:pPr>
        <w:spacing w:beforeLines="0" w:afterLines="0" w:line="600" w:lineRule="exact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1906" w:h="16838"/>
          <w:pgMar w:top="1701" w:right="1701" w:bottom="1701" w:left="1701" w:header="851" w:footer="992" w:gutter="0"/>
          <w:lnNumType w:countBy="0" w:distance="360"/>
          <w:pgNumType w:fmt="decimal"/>
          <w:cols w:space="720" w:num="1"/>
          <w:docGrid w:type="lines" w:linePitch="312" w:charSpace="0"/>
        </w:sectPr>
      </w:pPr>
    </w:p>
    <w:p>
      <w:pPr>
        <w:spacing w:beforeLines="0" w:afterLines="0" w:line="600" w:lineRule="exac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附件2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工业企业“8010”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三年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对标登高行动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分产业链目标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531"/>
        <w:gridCol w:w="1304"/>
        <w:gridCol w:w="1304"/>
        <w:gridCol w:w="130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产业链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类型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2023年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2024年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2025年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新能源及锂电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高端化工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高端装备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新材料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新医药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新一代信息技术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高质高效农业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新型商贸物流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文旅康养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其他综合类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szCs w:val="32"/>
              </w:rPr>
              <w:t>总计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骨干企业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龙头企业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分产业链目标把握以下原则：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1.考虑各产业链营收体量及工业倍增目标；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2.以2023年营收预计10亿元以上及100亿元以上企业数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量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>为基础；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3.参考各产业链2024—2026年招商引资及在建重大项目情况。</w:t>
            </w:r>
          </w:p>
        </w:tc>
      </w:tr>
    </w:tbl>
    <w:p>
      <w:pPr>
        <w:spacing w:beforeLines="0" w:afterLines="0" w:line="600" w:lineRule="exact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1906" w:h="16838"/>
          <w:pgMar w:top="1474" w:right="1701" w:bottom="1531" w:left="1701" w:header="851" w:footer="992" w:gutter="0"/>
          <w:lnNumType w:countBy="0" w:distance="360"/>
          <w:pgNumType w:fmt="decimal"/>
          <w:cols w:space="720" w:num="1"/>
          <w:docGrid w:type="lines" w:linePitch="312" w:charSpace="0"/>
        </w:sectPr>
      </w:pPr>
    </w:p>
    <w:p>
      <w:pPr>
        <w:spacing w:beforeLines="0" w:afterLines="0" w:line="600" w:lineRule="exac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附件3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工业企业“8010”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三年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对标登高行动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重点企业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建议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名单（第一批）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76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707"/>
        <w:gridCol w:w="1386"/>
        <w:gridCol w:w="1167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2026年培育目标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区（市）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枣庄矿业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兖矿鲁南化工有限公司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山东潍焦集团薛城能源有限公司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联泓新材料科技股份有限公司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国网山东省电力公司枣庄供电公司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山东丰元锂能科技有限公司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山东丰源集团股份有限公司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山东泉兴能源集团有限公司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山东欣旺达新能源有限公司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山东海王优品健康科技有限公司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亿元以上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山东吉利欣旺达动力电池有限公司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山东芯恒光科技有限公司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山东腾达紧固科技股份有限公司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山东泰和科技股份有限公司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山东极电电动汽车技术有限公司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博雷顿（山东）新能源汽车有限公司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山东腾达特种钢丝科技有限公司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山东恒仁工贸有限公司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华电国际电力股份有限公司十里泉发电厂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盛隆化工有限公司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山东中烟工业有限责任公司滕州卷烟厂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山东王晁煤电集团有限公司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八亿橡胶有限责任公司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中材锂膜有限公司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滕州金晶玻璃有限公司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滕州东方钢帘线有限公司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东方光源集团有限公司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枣庄华宝牧业开发有限公司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山东聚合顺鲁化新材料有限公司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枣庄杰富意振兴化工有限公司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华电滕州新源热电有限公司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枣庄华润纸业有限公司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山东丰源轮胎制造股份有限公司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盛源宏达化工有限公司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远通纸业（山东）有限公司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枣庄市银牛面业有限公司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山东申丰水泥集团有限公司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山东融跃肉制品有限公司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鲁南中联水泥有限公司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山东辛化硅胶有限公司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滕州华润燃气有限公司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山东奥瑟亚化工有限公司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北玻院（滕州）复合材料有限公司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枣庄通晟实业有限公司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枣庄市恒宇纸业有限公司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山东华邦能源集团有限公司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亿恩科天润新能源材料（山东）有限公司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山东泉兴水泥有限公司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滕州中联水泥有限公司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枣庄市天龙纸业有限公司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滕州合易食品有限公司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福兴集团有限公司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山东精工电子科技有限公司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枣庄福山实业有限公司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滕州东启肉类加工有限公司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山东天衢铝业有限公司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尚品本色智能家居有限公司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山东海之杰纺织有限公司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山东福藤食品有限公司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山东茁彼母婴用品有限公司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枣庄利丰饲料有限公司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山东威达重工股份有限公司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枣庄八一水煤浆热电有限责任公司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青岛啤酒（枣庄）有限公司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山东泉为新能源科技有限公司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滕州富源低热值燃料热电有限公司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中科智能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山东创普斯新能源科技有限公司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山东益康药业股份有限公司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清峦福兴工业科技集团有限公司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滕州市东郭水泥有限公司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伟伦鞋业（山东）有限公司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枣庄新希望六和饲料有限公司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山东省润泰新材料有限公司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枣庄市胜达精密铸造有限公司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枣庄鑫金山智能装备有限公司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泉头集团枣庄金桥旋窑水泥有限公司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枣庄中联水泥有限公司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枣庄市沃丰水泥有限公司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山东正凯新材料股份有限公司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山东杭氧气体有限公司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山东中科蓝天科技有限公司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中材科技膜材料（山东）有限公司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山东日盈食品有限公司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滕州市三合机械股份有限公司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山东连银山环保建材有限公司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山东刘岭铁矿有限公司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山东联润新材料科技有限公司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华润三九（枣庄）药业有限公司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山东能源装备集团鲁南装备制造有限公司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10—100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eastAsia"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zNhNjc4NGMyNGI4NTI2NTM2MzhjYTM5NzhlNGEifQ=="/>
  </w:docVars>
  <w:rsids>
    <w:rsidRoot w:val="00172A27"/>
    <w:rsid w:val="038150F3"/>
    <w:rsid w:val="0BA85A46"/>
    <w:rsid w:val="0BBF85FB"/>
    <w:rsid w:val="0CAA5AF8"/>
    <w:rsid w:val="0EBF62C2"/>
    <w:rsid w:val="21E20A55"/>
    <w:rsid w:val="22CD86CF"/>
    <w:rsid w:val="242E5C65"/>
    <w:rsid w:val="25A4517B"/>
    <w:rsid w:val="25F65E50"/>
    <w:rsid w:val="29FCA1ED"/>
    <w:rsid w:val="32EB4BB1"/>
    <w:rsid w:val="33DF208F"/>
    <w:rsid w:val="33FCE9D5"/>
    <w:rsid w:val="3BBA71A4"/>
    <w:rsid w:val="3CAC7699"/>
    <w:rsid w:val="3DE5BDB7"/>
    <w:rsid w:val="3DFE9B9A"/>
    <w:rsid w:val="3FEF5D06"/>
    <w:rsid w:val="3FF70B5E"/>
    <w:rsid w:val="40CF754E"/>
    <w:rsid w:val="439D3995"/>
    <w:rsid w:val="47781D25"/>
    <w:rsid w:val="47E422D3"/>
    <w:rsid w:val="4BA426B2"/>
    <w:rsid w:val="4FDADCB3"/>
    <w:rsid w:val="57DFC222"/>
    <w:rsid w:val="57E5064C"/>
    <w:rsid w:val="596FF49D"/>
    <w:rsid w:val="5EE5BC3F"/>
    <w:rsid w:val="5FDF2FE8"/>
    <w:rsid w:val="5FF70837"/>
    <w:rsid w:val="67FD7EFD"/>
    <w:rsid w:val="67FE5A65"/>
    <w:rsid w:val="6DD249B7"/>
    <w:rsid w:val="6DE54CB3"/>
    <w:rsid w:val="6FBE1005"/>
    <w:rsid w:val="6FCF4F05"/>
    <w:rsid w:val="716A38D3"/>
    <w:rsid w:val="75DFE83E"/>
    <w:rsid w:val="75F753CB"/>
    <w:rsid w:val="777B470F"/>
    <w:rsid w:val="777F7DF7"/>
    <w:rsid w:val="77E5559B"/>
    <w:rsid w:val="78261E47"/>
    <w:rsid w:val="78DB7356"/>
    <w:rsid w:val="7A7B98CA"/>
    <w:rsid w:val="7CF582DC"/>
    <w:rsid w:val="7D734BE0"/>
    <w:rsid w:val="7D7ACC8A"/>
    <w:rsid w:val="7DAF0FC7"/>
    <w:rsid w:val="7DBF9C6D"/>
    <w:rsid w:val="7DEDBFEC"/>
    <w:rsid w:val="7DEF2660"/>
    <w:rsid w:val="7DFF2DC3"/>
    <w:rsid w:val="7EFFCF8B"/>
    <w:rsid w:val="7F0449BD"/>
    <w:rsid w:val="7F7F24D7"/>
    <w:rsid w:val="7FFDB0CE"/>
    <w:rsid w:val="8E9FDF21"/>
    <w:rsid w:val="97FF4E66"/>
    <w:rsid w:val="9AF78E4E"/>
    <w:rsid w:val="A2A921C9"/>
    <w:rsid w:val="AF3946BE"/>
    <w:rsid w:val="AF79F014"/>
    <w:rsid w:val="AFFFD15F"/>
    <w:rsid w:val="B9FFA862"/>
    <w:rsid w:val="BFF6E90D"/>
    <w:rsid w:val="DFF4FF7D"/>
    <w:rsid w:val="E1D7C55D"/>
    <w:rsid w:val="E5F97DB6"/>
    <w:rsid w:val="EAAFD0B0"/>
    <w:rsid w:val="EAF667F7"/>
    <w:rsid w:val="EDBF107D"/>
    <w:rsid w:val="EFED0EB7"/>
    <w:rsid w:val="F37F7FCE"/>
    <w:rsid w:val="F39CACDF"/>
    <w:rsid w:val="F7FE83AE"/>
    <w:rsid w:val="FBBD87B1"/>
    <w:rsid w:val="FCF3B72F"/>
    <w:rsid w:val="FD9E4585"/>
    <w:rsid w:val="FEDF97A6"/>
    <w:rsid w:val="FEFE89F3"/>
    <w:rsid w:val="FF7DE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unhideWhenUsed/>
    <w:qFormat/>
    <w:uiPriority w:val="0"/>
    <w:pPr>
      <w:spacing w:beforeLines="0" w:afterLines="0"/>
    </w:pPr>
    <w:rPr>
      <w:rFonts w:hint="eastAsia"/>
      <w:sz w:val="32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4">
    <w:name w:val="head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 w:line="240" w:lineRule="auto"/>
    </w:pPr>
    <w:rPr>
      <w:rFonts w:hint="eastAsia"/>
      <w:sz w:val="18"/>
      <w:szCs w:val="24"/>
    </w:rPr>
  </w:style>
  <w:style w:type="paragraph" w:customStyle="1" w:styleId="7">
    <w:name w:val="Heading #2|1"/>
    <w:basedOn w:val="1"/>
    <w:autoRedefine/>
    <w:qFormat/>
    <w:uiPriority w:val="0"/>
    <w:pPr>
      <w:widowControl w:val="0"/>
      <w:shd w:val="clear" w:color="auto" w:fill="auto"/>
      <w:spacing w:after="300" w:line="708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autoRedefine/>
    <w:unhideWhenUsed/>
    <w:qFormat/>
    <w:uiPriority w:val="0"/>
    <w:pPr>
      <w:spacing w:beforeLines="0" w:afterLines="0" w:line="401" w:lineRule="auto"/>
      <w:ind w:firstLine="400"/>
    </w:pPr>
    <w:rPr>
      <w:rFonts w:hint="default"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font51"/>
    <w:basedOn w:val="6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6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4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7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6012</Words>
  <Characters>7120</Characters>
  <Lines>0</Lines>
  <Paragraphs>0</Paragraphs>
  <TotalTime>31</TotalTime>
  <ScaleCrop>false</ScaleCrop>
  <LinksUpToDate>false</LinksUpToDate>
  <CharactersWithSpaces>7200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ohh</cp:lastModifiedBy>
  <cp:lastPrinted>2024-01-04T02:52:00Z</cp:lastPrinted>
  <dcterms:modified xsi:type="dcterms:W3CDTF">2024-02-08T09:11:28Z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2EBB88A5EBAF418789F6E5804D631E95_13</vt:lpwstr>
  </property>
</Properties>
</file>